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5A0" w:rsidRPr="00B375A0" w:rsidRDefault="00B375A0" w:rsidP="00B375A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Times New Roman"/>
          <w:b/>
          <w:color w:val="FF0000"/>
          <w:sz w:val="24"/>
          <w:szCs w:val="24"/>
        </w:rPr>
      </w:pPr>
    </w:p>
    <w:p w:rsidR="00B375A0" w:rsidRPr="00D80B9F" w:rsidRDefault="00B375A0" w:rsidP="00B375A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Times New Roman"/>
          <w:b/>
          <w:sz w:val="24"/>
          <w:szCs w:val="24"/>
        </w:rPr>
      </w:pPr>
      <w:r>
        <w:rPr>
          <w:rFonts w:ascii="Calibri" w:hAnsi="Calibri" w:cs="Times New Roman"/>
          <w:b/>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8.7pt;margin-top:.05pt;width:96pt;height:43.7pt;z-index:251658240;mso-position-horizontal-relative:text;mso-position-vertical-relative:text" wrapcoords="8944 1117 6412 1862 6244 3724 6919 7076 6750 10428 8438 13034 338 13779 338 18993 12825 20110 21094 20110 21600 13779 20588 13407 10969 13034 13162 7076 11306 1117 8944 1117">
            <v:imagedata r:id="rId4" o:title=""/>
            <w10:wrap type="tight"/>
          </v:shape>
          <o:OLEObject Type="Embed" ProgID="CorelDraw.Graphic.17" ShapeID="_x0000_s1026" DrawAspect="Content" ObjectID="_1766480201" r:id="rId5"/>
        </w:object>
      </w:r>
      <w:r w:rsidRPr="00D80B9F">
        <w:rPr>
          <w:rFonts w:ascii="Calibri" w:hAnsi="Calibri" w:cs="Times New Roman"/>
          <w:b/>
          <w:sz w:val="24"/>
          <w:szCs w:val="24"/>
        </w:rPr>
        <w:t xml:space="preserve">Tisková zpráva </w:t>
      </w:r>
      <w:r w:rsidRPr="00D80B9F">
        <w:rPr>
          <w:rFonts w:cs="Helvetica"/>
          <w:b/>
          <w:noProof/>
        </w:rPr>
        <w:drawing>
          <wp:anchor distT="0" distB="0" distL="114300" distR="114300" simplePos="0" relativeHeight="251659264" behindDoc="1" locked="0" layoutInCell="1" allowOverlap="1" wp14:anchorId="79883DB7" wp14:editId="7AB48738">
            <wp:simplePos x="0" y="0"/>
            <wp:positionH relativeFrom="margin">
              <wp:posOffset>5205095</wp:posOffset>
            </wp:positionH>
            <wp:positionV relativeFrom="margin">
              <wp:posOffset>-426720</wp:posOffset>
            </wp:positionV>
            <wp:extent cx="590550" cy="1304925"/>
            <wp:effectExtent l="0" t="0" r="0" b="9525"/>
            <wp:wrapTight wrapText="bothSides">
              <wp:wrapPolygon edited="0">
                <wp:start x="0" y="0"/>
                <wp:lineTo x="0" y="21442"/>
                <wp:lineTo x="20903" y="21442"/>
                <wp:lineTo x="20903" y="0"/>
                <wp:lineTo x="0" y="0"/>
              </wp:wrapPolygon>
            </wp:wrapTight>
            <wp:docPr id="2" name="Obrázek 0" descr="Nov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e_LOGO.jpg"/>
                    <pic:cNvPicPr/>
                  </pic:nvPicPr>
                  <pic:blipFill>
                    <a:blip r:embed="rId6" cstate="print"/>
                    <a:stretch>
                      <a:fillRect/>
                    </a:stretch>
                  </pic:blipFill>
                  <pic:spPr>
                    <a:xfrm>
                      <a:off x="0" y="0"/>
                      <a:ext cx="590550" cy="1304925"/>
                    </a:xfrm>
                    <a:prstGeom prst="rect">
                      <a:avLst/>
                    </a:prstGeom>
                  </pic:spPr>
                </pic:pic>
              </a:graphicData>
            </a:graphic>
          </wp:anchor>
        </w:drawing>
      </w:r>
    </w:p>
    <w:p w:rsidR="00B375A0" w:rsidRPr="00B375A0" w:rsidRDefault="00B375A0" w:rsidP="00B375A0">
      <w:pPr>
        <w:spacing w:after="0" w:line="240" w:lineRule="auto"/>
      </w:pPr>
      <w:r w:rsidRPr="00B375A0">
        <w:t>12. 1. 2024</w:t>
      </w:r>
      <w:r w:rsidRPr="00B375A0">
        <w:t>, České Budějovice</w:t>
      </w:r>
    </w:p>
    <w:p w:rsidR="00B375A0" w:rsidRPr="00B375A0" w:rsidRDefault="00B375A0" w:rsidP="00B375A0">
      <w:pPr>
        <w:spacing w:after="0" w:line="240" w:lineRule="auto"/>
        <w:rPr>
          <w:b/>
          <w:sz w:val="16"/>
          <w:szCs w:val="16"/>
        </w:rPr>
      </w:pPr>
    </w:p>
    <w:p w:rsidR="00B375A0" w:rsidRPr="00B375A0" w:rsidRDefault="00B375A0" w:rsidP="00B375A0">
      <w:pPr>
        <w:rPr>
          <w:b/>
          <w:sz w:val="24"/>
          <w:szCs w:val="24"/>
        </w:rPr>
      </w:pPr>
    </w:p>
    <w:p w:rsidR="00B375A0" w:rsidRPr="00B375A0" w:rsidRDefault="00B375A0" w:rsidP="00B375A0">
      <w:pPr>
        <w:rPr>
          <w:b/>
          <w:sz w:val="24"/>
          <w:szCs w:val="24"/>
        </w:rPr>
      </w:pPr>
      <w:r w:rsidRPr="00B375A0">
        <w:rPr>
          <w:b/>
          <w:sz w:val="24"/>
          <w:szCs w:val="24"/>
        </w:rPr>
        <w:t>Krajská podpora jihočeským knihovnám je letos ve výši 1</w:t>
      </w:r>
      <w:r w:rsidRPr="00B375A0">
        <w:rPr>
          <w:b/>
          <w:sz w:val="24"/>
          <w:szCs w:val="24"/>
        </w:rPr>
        <w:t>9</w:t>
      </w:r>
      <w:r w:rsidRPr="00B375A0">
        <w:rPr>
          <w:b/>
          <w:sz w:val="24"/>
          <w:szCs w:val="24"/>
        </w:rPr>
        <w:t xml:space="preserve"> miliónů korun</w:t>
      </w:r>
    </w:p>
    <w:p w:rsidR="00B375A0" w:rsidRPr="00B375A0" w:rsidRDefault="00B375A0" w:rsidP="00B375A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Times New Roman"/>
          <w:b/>
          <w:color w:val="auto"/>
          <w:sz w:val="22"/>
          <w:szCs w:val="22"/>
        </w:rPr>
      </w:pPr>
      <w:r w:rsidRPr="00B375A0">
        <w:rPr>
          <w:rFonts w:ascii="Calibri" w:hAnsi="Calibri" w:cs="Times New Roman"/>
          <w:b/>
          <w:color w:val="auto"/>
          <w:sz w:val="22"/>
          <w:szCs w:val="22"/>
        </w:rPr>
        <w:t>Devatenácti</w:t>
      </w:r>
      <w:r w:rsidRPr="00B375A0">
        <w:rPr>
          <w:rFonts w:ascii="Calibri" w:hAnsi="Calibri" w:cs="Times New Roman"/>
          <w:b/>
          <w:color w:val="auto"/>
          <w:sz w:val="22"/>
          <w:szCs w:val="22"/>
        </w:rPr>
        <w:t xml:space="preserve"> milionová dotace na podporu jihočeských knihoven je v letošním roce určena pro 58</w:t>
      </w:r>
      <w:r w:rsidRPr="00B375A0">
        <w:rPr>
          <w:rFonts w:ascii="Calibri" w:hAnsi="Calibri" w:cs="Times New Roman"/>
          <w:b/>
          <w:color w:val="auto"/>
          <w:sz w:val="22"/>
          <w:szCs w:val="22"/>
        </w:rPr>
        <w:t>4</w:t>
      </w:r>
      <w:r w:rsidRPr="00B375A0">
        <w:rPr>
          <w:rFonts w:ascii="Calibri" w:hAnsi="Calibri" w:cs="Times New Roman"/>
          <w:b/>
          <w:color w:val="auto"/>
          <w:sz w:val="22"/>
          <w:szCs w:val="22"/>
        </w:rPr>
        <w:t xml:space="preserve"> knihoven a poboček celého Jihočeského kraje. V regionu České Budějovice dotaci využije 13</w:t>
      </w:r>
      <w:r w:rsidRPr="00B375A0">
        <w:rPr>
          <w:rFonts w:ascii="Calibri" w:hAnsi="Calibri" w:cs="Times New Roman"/>
          <w:b/>
          <w:color w:val="auto"/>
          <w:sz w:val="22"/>
          <w:szCs w:val="22"/>
        </w:rPr>
        <w:t>0</w:t>
      </w:r>
      <w:r w:rsidRPr="00B375A0">
        <w:rPr>
          <w:rFonts w:ascii="Calibri" w:hAnsi="Calibri" w:cs="Times New Roman"/>
          <w:b/>
          <w:color w:val="auto"/>
          <w:sz w:val="22"/>
          <w:szCs w:val="22"/>
        </w:rPr>
        <w:t xml:space="preserve"> knihoven a jejich poboček.</w:t>
      </w:r>
    </w:p>
    <w:p w:rsidR="00B375A0" w:rsidRPr="00B375A0" w:rsidRDefault="00B375A0" w:rsidP="00B375A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Times New Roman"/>
          <w:color w:val="FF0000"/>
          <w:sz w:val="22"/>
          <w:szCs w:val="22"/>
        </w:rPr>
      </w:pPr>
    </w:p>
    <w:p w:rsidR="00B375A0" w:rsidRPr="00B375A0" w:rsidRDefault="00B375A0" w:rsidP="00B375A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Times New Roman"/>
          <w:color w:val="auto"/>
          <w:sz w:val="22"/>
          <w:szCs w:val="22"/>
        </w:rPr>
      </w:pPr>
      <w:r w:rsidRPr="00B375A0">
        <w:rPr>
          <w:rFonts w:ascii="Calibri" w:hAnsi="Calibri" w:cs="Times New Roman"/>
          <w:color w:val="auto"/>
          <w:sz w:val="22"/>
          <w:szCs w:val="22"/>
        </w:rPr>
        <w:t>„Program podpory regionálních funkcí je podpořen částkou 1</w:t>
      </w:r>
      <w:r w:rsidRPr="00B375A0">
        <w:rPr>
          <w:rFonts w:ascii="Calibri" w:hAnsi="Calibri" w:cs="Times New Roman"/>
          <w:color w:val="auto"/>
          <w:sz w:val="22"/>
          <w:szCs w:val="22"/>
        </w:rPr>
        <w:t>9</w:t>
      </w:r>
      <w:r w:rsidRPr="00B375A0">
        <w:rPr>
          <w:rFonts w:ascii="Calibri" w:hAnsi="Calibri" w:cs="Times New Roman"/>
          <w:color w:val="auto"/>
          <w:sz w:val="22"/>
          <w:szCs w:val="22"/>
        </w:rPr>
        <w:t xml:space="preserve"> miliónů korun z rozpočtu Jihočeského kraje pro Jihočeskou vědeckou knihovnu v Českých Budějovicích a devět jí pověřených knihoven“, uvedla náměstkyně českobudějovické vědecké knihovny pro služby Zuzana Hájková.  Na rok 202</w:t>
      </w:r>
      <w:r w:rsidRPr="00B375A0">
        <w:rPr>
          <w:rFonts w:ascii="Calibri" w:hAnsi="Calibri" w:cs="Times New Roman"/>
          <w:color w:val="auto"/>
          <w:sz w:val="22"/>
          <w:szCs w:val="22"/>
        </w:rPr>
        <w:t>4</w:t>
      </w:r>
      <w:r w:rsidRPr="00B375A0">
        <w:rPr>
          <w:rFonts w:ascii="Calibri" w:hAnsi="Calibri" w:cs="Times New Roman"/>
          <w:color w:val="auto"/>
          <w:sz w:val="22"/>
          <w:szCs w:val="22"/>
        </w:rPr>
        <w:t xml:space="preserve"> bude dotace poskytnuta ve výši 1</w:t>
      </w:r>
      <w:r w:rsidRPr="00B375A0">
        <w:rPr>
          <w:rFonts w:ascii="Calibri" w:hAnsi="Calibri" w:cs="Times New Roman"/>
          <w:color w:val="auto"/>
          <w:sz w:val="22"/>
          <w:szCs w:val="22"/>
        </w:rPr>
        <w:t>9</w:t>
      </w:r>
      <w:r w:rsidRPr="00B375A0">
        <w:rPr>
          <w:rFonts w:ascii="Calibri" w:hAnsi="Calibri" w:cs="Times New Roman"/>
          <w:color w:val="auto"/>
          <w:sz w:val="22"/>
          <w:szCs w:val="22"/>
        </w:rPr>
        <w:t> 000 000 korun pro celý Jihočeský kraj, z toho 4</w:t>
      </w:r>
      <w:r w:rsidRPr="00B375A0">
        <w:rPr>
          <w:rFonts w:ascii="Calibri" w:hAnsi="Calibri" w:cs="Times New Roman"/>
          <w:color w:val="auto"/>
          <w:sz w:val="22"/>
          <w:szCs w:val="22"/>
        </w:rPr>
        <w:t> 735 000</w:t>
      </w:r>
      <w:r w:rsidRPr="00B375A0">
        <w:rPr>
          <w:rFonts w:ascii="Calibri" w:hAnsi="Calibri" w:cs="Times New Roman"/>
          <w:color w:val="auto"/>
          <w:sz w:val="22"/>
          <w:szCs w:val="22"/>
        </w:rPr>
        <w:t xml:space="preserve"> korun pro Jihočeskou vědeckou knihovnu v Českých Budějovicích. </w:t>
      </w:r>
    </w:p>
    <w:p w:rsidR="00B375A0" w:rsidRPr="00B375A0" w:rsidRDefault="00B375A0" w:rsidP="00B375A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jc w:val="both"/>
        <w:rPr>
          <w:rFonts w:ascii="Calibri" w:hAnsi="Calibri" w:cs="Times New Roman"/>
          <w:sz w:val="16"/>
          <w:szCs w:val="16"/>
        </w:rPr>
      </w:pPr>
    </w:p>
    <w:p w:rsidR="00B375A0" w:rsidRPr="00B375A0" w:rsidRDefault="00B375A0" w:rsidP="00B375A0">
      <w:pPr>
        <w:pStyle w:val="Zkladntextodsazen"/>
        <w:ind w:firstLine="0"/>
        <w:rPr>
          <w:rFonts w:ascii="Calibri" w:hAnsi="Calibri"/>
          <w:sz w:val="22"/>
          <w:szCs w:val="22"/>
        </w:rPr>
      </w:pPr>
      <w:r w:rsidRPr="00B375A0">
        <w:rPr>
          <w:rFonts w:ascii="Calibri" w:hAnsi="Calibri"/>
          <w:sz w:val="22"/>
          <w:szCs w:val="22"/>
        </w:rPr>
        <w:t xml:space="preserve">Jihočeská vědecká knihovna v Českých Budějovicích poskytuje krajské regionální funkce a všechny regionální funkce pro region České Budějovice. Na základě smluv pověřuje devět základních knihoven výkonem regionálních funkcí pro regiony (Městské knihovny v Českém Krumlově, Dačicích, Jindřichově Hradci, Milevsku, Písku, Prachaticích, Strakonicích, Táboře a Třeboni). </w:t>
      </w:r>
    </w:p>
    <w:p w:rsidR="00B375A0" w:rsidRPr="00B375A0" w:rsidRDefault="00B375A0" w:rsidP="00B375A0">
      <w:pPr>
        <w:pStyle w:val="Zkladntextodsazen"/>
        <w:ind w:firstLine="0"/>
        <w:rPr>
          <w:rFonts w:ascii="Calibri" w:hAnsi="Calibri"/>
          <w:sz w:val="16"/>
          <w:szCs w:val="16"/>
        </w:rPr>
      </w:pPr>
    </w:p>
    <w:p w:rsidR="00B375A0" w:rsidRPr="00D0656F" w:rsidRDefault="00B375A0" w:rsidP="00B375A0">
      <w:pPr>
        <w:pStyle w:val="Zkladntextodsazen"/>
        <w:ind w:firstLine="0"/>
        <w:rPr>
          <w:rFonts w:ascii="Calibri" w:hAnsi="Calibri"/>
          <w:bCs/>
          <w:sz w:val="22"/>
          <w:szCs w:val="22"/>
        </w:rPr>
      </w:pPr>
      <w:r w:rsidRPr="00B375A0">
        <w:rPr>
          <w:rFonts w:ascii="Calibri" w:hAnsi="Calibri"/>
          <w:bCs/>
          <w:sz w:val="22"/>
          <w:szCs w:val="22"/>
        </w:rPr>
        <w:t>Základní úkol knihoven poskytujících regionální funkce knihovnám v Jihočeském kraji je pomoc menším knihovnám v kraji tak, aby se vyrovnal rozdíl mezi poskytovanými službami ve větších i menších</w:t>
      </w:r>
      <w:r w:rsidRPr="00D0656F">
        <w:rPr>
          <w:rFonts w:ascii="Calibri" w:hAnsi="Calibri"/>
          <w:bCs/>
          <w:sz w:val="22"/>
          <w:szCs w:val="22"/>
        </w:rPr>
        <w:t xml:space="preserve"> knihovnách, aby návštěvníci i v malých knihovnách našli informace, které potřebují a pomocí vzájemných kontaktů se rozšiřovaly služby knihoven, zlepšila komunikace s pověřenými knihovnami, budovaly se zajímavé výměnné fondy, díky kterým se dostanou nové knihy i do knihoven malých obcí, které nemají zdroje na doplňování fondů svých knihoven. Do výkonu regionálních funkcí patří poradenská a konzultační činnost, statistika knihovnických činností, vzdělávání knihovníků, semináře a</w:t>
      </w:r>
      <w:r>
        <w:rPr>
          <w:rFonts w:ascii="Calibri" w:hAnsi="Calibri"/>
          <w:bCs/>
          <w:sz w:val="22"/>
          <w:szCs w:val="22"/>
        </w:rPr>
        <w:t> </w:t>
      </w:r>
      <w:r w:rsidRPr="00D0656F">
        <w:rPr>
          <w:rFonts w:ascii="Calibri" w:hAnsi="Calibri"/>
          <w:bCs/>
          <w:sz w:val="22"/>
          <w:szCs w:val="22"/>
        </w:rPr>
        <w:t>porady, tvorba výměnných knihovních fondů, jejich cirkulace a distribuce, pomoc při revizi a</w:t>
      </w:r>
      <w:r>
        <w:rPr>
          <w:rFonts w:ascii="Calibri" w:hAnsi="Calibri"/>
          <w:bCs/>
          <w:sz w:val="22"/>
          <w:szCs w:val="22"/>
        </w:rPr>
        <w:t> </w:t>
      </w:r>
      <w:r w:rsidRPr="00D0656F">
        <w:rPr>
          <w:rFonts w:ascii="Calibri" w:hAnsi="Calibri"/>
          <w:bCs/>
          <w:sz w:val="22"/>
          <w:szCs w:val="22"/>
        </w:rPr>
        <w:t>aktualizaci knihovních fondů, nákup a zpracování knihovních fondů pořízených jednotlivými knihovnami a servis automatizovaného knihovního systému</w:t>
      </w:r>
    </w:p>
    <w:p w:rsidR="00B375A0" w:rsidRPr="00D0656F" w:rsidRDefault="00B375A0" w:rsidP="00B375A0">
      <w:pPr>
        <w:pStyle w:val="Zkladntextodsazen"/>
        <w:rPr>
          <w:rFonts w:ascii="Calibri" w:hAnsi="Calibri"/>
          <w:sz w:val="16"/>
          <w:szCs w:val="16"/>
        </w:rPr>
      </w:pPr>
    </w:p>
    <w:p w:rsidR="00B375A0" w:rsidRPr="00B375A0" w:rsidRDefault="00B375A0" w:rsidP="00B375A0">
      <w:pPr>
        <w:spacing w:after="0" w:line="240" w:lineRule="auto"/>
        <w:jc w:val="both"/>
      </w:pPr>
      <w:r w:rsidRPr="00B375A0">
        <w:t>Síť knihoven tvoří Jihočeská vědecká knihovna v Českých Budějovicích jako krajská knihovna, 9</w:t>
      </w:r>
      <w:r>
        <w:t> </w:t>
      </w:r>
      <w:r w:rsidRPr="00B375A0">
        <w:t>pověřených knihoven, 76 knihoven s profesionálním knihovníkem a 428 knihoven s neprofesionálním knihovníkem. Celkem se regionální funkce dotýkají 584 knihoven, tj. knihoven s profesionálními a</w:t>
      </w:r>
      <w:r>
        <w:t> </w:t>
      </w:r>
      <w:bookmarkStart w:id="0" w:name="_GoBack"/>
      <w:bookmarkEnd w:id="0"/>
      <w:r w:rsidRPr="00B375A0">
        <w:t>neprofesionálními knihovnami a jejich 80 poboček.</w:t>
      </w:r>
    </w:p>
    <w:p w:rsidR="00B375A0" w:rsidRPr="00D0656F" w:rsidRDefault="00B375A0" w:rsidP="00B375A0">
      <w:pPr>
        <w:spacing w:after="0" w:line="240" w:lineRule="auto"/>
        <w:jc w:val="both"/>
        <w:rPr>
          <w:rFonts w:ascii="Calibri" w:eastAsia="Times New Roman" w:hAnsi="Calibri" w:cs="Times New Roman"/>
          <w:color w:val="000000"/>
          <w:sz w:val="16"/>
          <w:szCs w:val="16"/>
          <w:lang w:eastAsia="cs-CZ"/>
        </w:rPr>
      </w:pPr>
    </w:p>
    <w:p w:rsidR="00B375A0" w:rsidRDefault="00B375A0" w:rsidP="00B375A0">
      <w:pPr>
        <w:pStyle w:val="Zkladntextodsazen"/>
        <w:ind w:firstLine="0"/>
        <w:rPr>
          <w:rFonts w:ascii="Calibri" w:hAnsi="Calibri"/>
          <w:bCs/>
          <w:sz w:val="22"/>
          <w:szCs w:val="22"/>
        </w:rPr>
      </w:pPr>
      <w:r w:rsidRPr="00D0656F">
        <w:rPr>
          <w:rFonts w:ascii="Calibri" w:hAnsi="Calibri"/>
          <w:sz w:val="22"/>
          <w:szCs w:val="22"/>
        </w:rPr>
        <w:t xml:space="preserve">Regionální funkce pro knihovny v Jihočeském kraji jsou poskytovány na základě Zákona č. 257/2001 Sb., o knihovnách a podmínkách provozování veřejných knihovnických a informačních služeb (knihovní zákon), programu Podpory zajištění výkonu regionálních funkcí knihoven a </w:t>
      </w:r>
      <w:r w:rsidRPr="00D0656F">
        <w:rPr>
          <w:rFonts w:ascii="Calibri" w:hAnsi="Calibri"/>
          <w:bCs/>
          <w:sz w:val="22"/>
          <w:szCs w:val="22"/>
        </w:rPr>
        <w:t>Metodického pokynu</w:t>
      </w:r>
      <w:r w:rsidRPr="00043E12">
        <w:rPr>
          <w:rFonts w:ascii="Calibri" w:hAnsi="Calibri"/>
          <w:bCs/>
          <w:sz w:val="22"/>
          <w:szCs w:val="22"/>
        </w:rPr>
        <w:t xml:space="preserve"> Ministerstva kultury k zajištění výkonu regionálních funkcí knihoven a jejich koordinaci na území České republiky od roku 2002. </w:t>
      </w:r>
    </w:p>
    <w:p w:rsidR="00B375A0" w:rsidRDefault="00B375A0" w:rsidP="00B375A0">
      <w:pPr>
        <w:pStyle w:val="Zkladntextodsazen"/>
        <w:ind w:firstLine="0"/>
        <w:rPr>
          <w:rFonts w:ascii="Calibri" w:hAnsi="Calibri"/>
          <w:bCs/>
          <w:sz w:val="22"/>
          <w:szCs w:val="22"/>
        </w:rPr>
      </w:pPr>
    </w:p>
    <w:p w:rsidR="00B375A0" w:rsidRDefault="00B375A0" w:rsidP="00B375A0">
      <w:pPr>
        <w:spacing w:after="0" w:line="240" w:lineRule="auto"/>
        <w:rPr>
          <w:b/>
          <w:sz w:val="20"/>
          <w:szCs w:val="20"/>
        </w:rPr>
      </w:pPr>
      <w:r>
        <w:rPr>
          <w:b/>
          <w:sz w:val="20"/>
          <w:szCs w:val="20"/>
        </w:rPr>
        <w:t>Bližší informace: PhDr. Zuzana Hájková, náměstkyně ředitele pro služby (386 111 205)</w:t>
      </w:r>
    </w:p>
    <w:p w:rsidR="00B375A0" w:rsidRDefault="00B375A0" w:rsidP="00B375A0">
      <w:pPr>
        <w:spacing w:after="0" w:line="240" w:lineRule="auto"/>
        <w:rPr>
          <w:b/>
          <w:sz w:val="20"/>
          <w:szCs w:val="20"/>
        </w:rPr>
      </w:pPr>
    </w:p>
    <w:p w:rsidR="00B375A0" w:rsidRPr="00D80B9F" w:rsidRDefault="00B375A0" w:rsidP="00B375A0">
      <w:pPr>
        <w:spacing w:after="0" w:line="240" w:lineRule="auto"/>
        <w:rPr>
          <w:b/>
          <w:sz w:val="20"/>
          <w:szCs w:val="20"/>
        </w:rPr>
      </w:pPr>
      <w:r w:rsidRPr="00D80B9F">
        <w:rPr>
          <w:b/>
          <w:sz w:val="20"/>
          <w:szCs w:val="20"/>
        </w:rPr>
        <w:t>Mgr. Petra Mašínová</w:t>
      </w:r>
    </w:p>
    <w:p w:rsidR="00B375A0" w:rsidRPr="00D80B9F" w:rsidRDefault="00B375A0" w:rsidP="00B375A0">
      <w:pPr>
        <w:spacing w:after="0" w:line="240" w:lineRule="auto"/>
        <w:rPr>
          <w:sz w:val="20"/>
          <w:szCs w:val="20"/>
        </w:rPr>
      </w:pPr>
      <w:r w:rsidRPr="00D80B9F">
        <w:rPr>
          <w:sz w:val="20"/>
          <w:szCs w:val="20"/>
        </w:rPr>
        <w:t>projektová pracovnice</w:t>
      </w:r>
    </w:p>
    <w:p w:rsidR="00B375A0" w:rsidRDefault="00B375A0" w:rsidP="00B375A0">
      <w:pPr>
        <w:rPr>
          <w:sz w:val="20"/>
          <w:szCs w:val="20"/>
        </w:rPr>
      </w:pPr>
      <w:r w:rsidRPr="00D80B9F">
        <w:rPr>
          <w:sz w:val="20"/>
          <w:szCs w:val="20"/>
        </w:rPr>
        <w:t>Jihočeská vědecká knihovna</w:t>
      </w:r>
    </w:p>
    <w:p w:rsidR="00B375A0" w:rsidRPr="00D80B9F" w:rsidRDefault="00B375A0" w:rsidP="00B375A0">
      <w:pPr>
        <w:spacing w:after="0" w:line="240" w:lineRule="auto"/>
        <w:rPr>
          <w:sz w:val="20"/>
          <w:szCs w:val="20"/>
        </w:rPr>
      </w:pPr>
      <w:r w:rsidRPr="00D80B9F">
        <w:rPr>
          <w:sz w:val="20"/>
          <w:szCs w:val="20"/>
        </w:rPr>
        <w:t>Lidická 1, 370 01 České Budějovice</w:t>
      </w:r>
    </w:p>
    <w:p w:rsidR="00B375A0" w:rsidRPr="00D80B9F" w:rsidRDefault="00B375A0" w:rsidP="00B375A0">
      <w:pPr>
        <w:spacing w:after="0" w:line="240" w:lineRule="auto"/>
        <w:rPr>
          <w:sz w:val="20"/>
          <w:szCs w:val="20"/>
        </w:rPr>
      </w:pPr>
      <w:r w:rsidRPr="00D80B9F">
        <w:rPr>
          <w:sz w:val="20"/>
          <w:szCs w:val="20"/>
        </w:rPr>
        <w:t>tel: 386 111 233, 602 540 320</w:t>
      </w:r>
    </w:p>
    <w:p w:rsidR="00B375A0" w:rsidRPr="00043E12" w:rsidRDefault="00B375A0" w:rsidP="00B375A0">
      <w:pPr>
        <w:spacing w:after="0" w:line="240" w:lineRule="auto"/>
        <w:rPr>
          <w:rFonts w:ascii="Times New Roman" w:hAnsi="Times New Roman" w:cs="Times New Roman"/>
        </w:rPr>
      </w:pPr>
      <w:r w:rsidRPr="00D80B9F">
        <w:rPr>
          <w:sz w:val="20"/>
          <w:szCs w:val="20"/>
        </w:rPr>
        <w:t>e-mail: masinova@cbvk.cz</w:t>
      </w:r>
    </w:p>
    <w:p w:rsidR="00B375A0" w:rsidRDefault="00B375A0" w:rsidP="00B375A0"/>
    <w:p w:rsidR="00B375A0" w:rsidRDefault="00B375A0" w:rsidP="00B375A0"/>
    <w:p w:rsidR="00B375A0" w:rsidRDefault="00B375A0"/>
    <w:sectPr w:rsidR="00B375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A0"/>
    <w:rsid w:val="00B375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5A0FCD"/>
  <w15:chartTrackingRefBased/>
  <w15:docId w15:val="{E4D94F11-1B7E-42C7-A5DB-1433C3E8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375A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B37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semiHidden/>
    <w:rsid w:val="00B375A0"/>
    <w:rPr>
      <w:rFonts w:ascii="Courier New" w:eastAsia="Times New Roman" w:hAnsi="Courier New" w:cs="Courier New"/>
      <w:color w:val="000000"/>
      <w:sz w:val="20"/>
      <w:szCs w:val="20"/>
      <w:lang w:eastAsia="cs-CZ"/>
    </w:rPr>
  </w:style>
  <w:style w:type="paragraph" w:styleId="Zkladntextodsazen">
    <w:name w:val="Body Text Indent"/>
    <w:basedOn w:val="Normln"/>
    <w:link w:val="ZkladntextodsazenChar"/>
    <w:unhideWhenUsed/>
    <w:rsid w:val="00B375A0"/>
    <w:pPr>
      <w:suppressAutoHyphens/>
      <w:spacing w:after="0" w:line="240" w:lineRule="auto"/>
      <w:ind w:firstLine="360"/>
      <w:jc w:val="both"/>
    </w:pPr>
    <w:rPr>
      <w:rFonts w:ascii="Times New Roman" w:eastAsia="Times New Roman" w:hAnsi="Times New Roman" w:cs="Times New Roman"/>
      <w:sz w:val="24"/>
      <w:szCs w:val="24"/>
      <w:lang w:eastAsia="ar-SA"/>
    </w:rPr>
  </w:style>
  <w:style w:type="character" w:customStyle="1" w:styleId="ZkladntextodsazenChar">
    <w:name w:val="Základní text odsazený Char"/>
    <w:basedOn w:val="Standardnpsmoodstavce"/>
    <w:link w:val="Zkladntextodsazen"/>
    <w:rsid w:val="00B375A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444</Words>
  <Characters>2620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TF JCU</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Masinova Petra</dc:creator>
  <cp:keywords/>
  <dc:description/>
  <cp:lastModifiedBy>Masinova Petra</cp:lastModifiedBy>
  <cp:revision>1</cp:revision>
  <dcterms:created xsi:type="dcterms:W3CDTF">2024-01-11T11:03:00Z</dcterms:created>
  <dcterms:modified xsi:type="dcterms:W3CDTF">2024-01-11T11:10:00Z</dcterms:modified>
</cp:coreProperties>
</file>